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2C" w:rsidRDefault="006D0CAC">
      <w:pPr>
        <w:pStyle w:val="BodyText"/>
        <w:ind w:left="47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987551" cy="9875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1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2C" w:rsidRDefault="006D0CAC">
      <w:pPr>
        <w:spacing w:before="4" w:line="394" w:lineRule="exact"/>
        <w:ind w:left="2012" w:right="2029"/>
        <w:jc w:val="center"/>
        <w:rPr>
          <w:rFonts w:ascii="Arial Black"/>
          <w:b/>
          <w:sz w:val="28"/>
        </w:rPr>
      </w:pPr>
      <w:r>
        <w:rPr>
          <w:rFonts w:ascii="Arial Black"/>
          <w:b/>
          <w:sz w:val="28"/>
        </w:rPr>
        <w:t>NOTICE</w:t>
      </w:r>
    </w:p>
    <w:p w:rsidR="00107A2C" w:rsidRDefault="006D0CAC">
      <w:pPr>
        <w:pStyle w:val="Heading1"/>
        <w:spacing w:line="252" w:lineRule="exact"/>
        <w:rPr>
          <w:rFonts w:ascii="Arial"/>
        </w:rPr>
      </w:pPr>
      <w:r>
        <w:rPr>
          <w:rFonts w:ascii="Arial"/>
        </w:rPr>
        <w:t>LOUISIANA BOARD OF PARDONS and PAROLE</w:t>
      </w:r>
    </w:p>
    <w:p w:rsidR="00107A2C" w:rsidRDefault="006D0CAC">
      <w:pPr>
        <w:ind w:left="2236"/>
        <w:rPr>
          <w:b/>
          <w:sz w:val="18"/>
        </w:rPr>
      </w:pPr>
      <w:r>
        <w:rPr>
          <w:b/>
        </w:rPr>
        <w:t xml:space="preserve">2018 REGULAR MEETING SCHEDULE - </w:t>
      </w:r>
      <w:r>
        <w:rPr>
          <w:b/>
          <w:sz w:val="18"/>
        </w:rPr>
        <w:t>Revised September 29, 2017</w:t>
      </w:r>
    </w:p>
    <w:p w:rsidR="00107A2C" w:rsidRDefault="00107A2C">
      <w:pPr>
        <w:pStyle w:val="BodyText"/>
        <w:spacing w:before="8"/>
        <w:rPr>
          <w:b/>
          <w:sz w:val="21"/>
        </w:rPr>
      </w:pPr>
    </w:p>
    <w:p w:rsidR="00107A2C" w:rsidRDefault="006D0CAC">
      <w:pPr>
        <w:pStyle w:val="BodyText"/>
        <w:ind w:left="100" w:right="117"/>
        <w:jc w:val="both"/>
      </w:pPr>
      <w:r>
        <w:t xml:space="preserve">The Louisiana </w:t>
      </w:r>
      <w:r>
        <w:rPr>
          <w:b/>
        </w:rPr>
        <w:t xml:space="preserve">BOARD OF PARDONS </w:t>
      </w:r>
      <w:r>
        <w:t>will meet and conduct pardon hearings on the following dates in 2018. Pardon hearings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convene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8:30</w:t>
      </w:r>
      <w:r>
        <w:rPr>
          <w:spacing w:val="-9"/>
        </w:rPr>
        <w:t xml:space="preserve"> </w:t>
      </w:r>
      <w:r>
        <w:t>a.m.</w:t>
      </w:r>
      <w:r>
        <w:rPr>
          <w:spacing w:val="-10"/>
        </w:rPr>
        <w:t xml:space="preserve"> </w:t>
      </w:r>
      <w:r>
        <w:t>(unless</w:t>
      </w:r>
      <w:r>
        <w:rPr>
          <w:spacing w:val="-9"/>
        </w:rPr>
        <w:t xml:space="preserve"> </w:t>
      </w:r>
      <w:r>
        <w:t>otherwise</w:t>
      </w:r>
      <w:r>
        <w:rPr>
          <w:spacing w:val="-10"/>
        </w:rPr>
        <w:t xml:space="preserve"> </w:t>
      </w:r>
      <w:r>
        <w:t>noted)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conducted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Pardon/Parole</w:t>
      </w:r>
      <w:r>
        <w:rPr>
          <w:spacing w:val="-9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hearing</w:t>
      </w:r>
      <w:r>
        <w:rPr>
          <w:spacing w:val="-9"/>
        </w:rPr>
        <w:t xml:space="preserve"> </w:t>
      </w:r>
      <w:r>
        <w:t>room located at 504 Mayflower</w:t>
      </w:r>
      <w:r w:rsidR="00DD10C9">
        <w:t xml:space="preserve"> Street</w:t>
      </w:r>
      <w:r>
        <w:t>, Baton Rouge, LA.  All visitors must check in at the Security</w:t>
      </w:r>
      <w:r>
        <w:rPr>
          <w:spacing w:val="-9"/>
        </w:rPr>
        <w:t xml:space="preserve"> </w:t>
      </w:r>
      <w:r>
        <w:t>Office.</w:t>
      </w:r>
    </w:p>
    <w:p w:rsidR="00107A2C" w:rsidRDefault="00107A2C">
      <w:pPr>
        <w:pStyle w:val="BodyText"/>
        <w:spacing w:before="10"/>
        <w:rPr>
          <w:sz w:val="23"/>
        </w:rPr>
      </w:pPr>
    </w:p>
    <w:p w:rsidR="00107A2C" w:rsidRDefault="006D0CAC">
      <w:pPr>
        <w:pStyle w:val="BodyText"/>
        <w:tabs>
          <w:tab w:val="left" w:pos="5860"/>
        </w:tabs>
        <w:ind w:left="2260"/>
      </w:pPr>
      <w:r>
        <w:t>January</w:t>
      </w:r>
      <w:r>
        <w:rPr>
          <w:spacing w:val="-1"/>
        </w:rPr>
        <w:t xml:space="preserve"> </w:t>
      </w:r>
      <w:r>
        <w:t>22,</w:t>
      </w:r>
      <w:r>
        <w:rPr>
          <w:spacing w:val="-1"/>
        </w:rPr>
        <w:t xml:space="preserve"> </w:t>
      </w:r>
      <w:r w:rsidR="006A095B">
        <w:t>2018</w:t>
      </w:r>
      <w:r>
        <w:tab/>
        <w:t>July 23,</w:t>
      </w:r>
      <w:r>
        <w:rPr>
          <w:spacing w:val="-2"/>
        </w:rPr>
        <w:t xml:space="preserve"> </w:t>
      </w:r>
      <w:r w:rsidR="006A095B">
        <w:t>2018</w:t>
      </w:r>
    </w:p>
    <w:p w:rsidR="00107A2C" w:rsidRDefault="006D0CAC">
      <w:pPr>
        <w:pStyle w:val="BodyText"/>
        <w:tabs>
          <w:tab w:val="left" w:pos="5860"/>
        </w:tabs>
        <w:ind w:left="2260"/>
      </w:pPr>
      <w:r>
        <w:t>February</w:t>
      </w:r>
      <w:r>
        <w:rPr>
          <w:spacing w:val="-1"/>
        </w:rPr>
        <w:t xml:space="preserve"> </w:t>
      </w:r>
      <w:r>
        <w:t>19,</w:t>
      </w:r>
      <w:r>
        <w:rPr>
          <w:spacing w:val="-1"/>
        </w:rPr>
        <w:t xml:space="preserve"> </w:t>
      </w:r>
      <w:r w:rsidR="006A095B">
        <w:t>2018</w:t>
      </w:r>
      <w:r>
        <w:tab/>
        <w:t>August 20,</w:t>
      </w:r>
      <w:r>
        <w:rPr>
          <w:spacing w:val="-1"/>
        </w:rPr>
        <w:t xml:space="preserve"> </w:t>
      </w:r>
      <w:r w:rsidR="006A095B">
        <w:t>2018</w:t>
      </w:r>
    </w:p>
    <w:p w:rsidR="00107A2C" w:rsidRDefault="006D0CAC">
      <w:pPr>
        <w:pStyle w:val="BodyText"/>
        <w:tabs>
          <w:tab w:val="left" w:pos="5860"/>
        </w:tabs>
        <w:spacing w:line="230" w:lineRule="exact"/>
        <w:ind w:left="2260"/>
      </w:pPr>
      <w:r>
        <w:t>March 19,</w:t>
      </w:r>
      <w:r>
        <w:rPr>
          <w:spacing w:val="-1"/>
        </w:rPr>
        <w:t xml:space="preserve"> </w:t>
      </w:r>
      <w:r w:rsidR="006A095B">
        <w:t>2018</w:t>
      </w:r>
      <w:r>
        <w:tab/>
        <w:t>September 17,</w:t>
      </w:r>
      <w:r>
        <w:rPr>
          <w:spacing w:val="-1"/>
        </w:rPr>
        <w:t xml:space="preserve"> </w:t>
      </w:r>
      <w:r w:rsidR="00951F9A">
        <w:t>2018</w:t>
      </w:r>
      <w:bookmarkStart w:id="0" w:name="_GoBack"/>
      <w:bookmarkEnd w:id="0"/>
    </w:p>
    <w:p w:rsidR="00107A2C" w:rsidRDefault="006D0CAC">
      <w:pPr>
        <w:pStyle w:val="BodyText"/>
        <w:tabs>
          <w:tab w:val="left" w:pos="5860"/>
        </w:tabs>
        <w:spacing w:line="230" w:lineRule="exact"/>
        <w:ind w:left="2260"/>
      </w:pPr>
      <w:r>
        <w:t>April</w:t>
      </w:r>
      <w:r>
        <w:rPr>
          <w:spacing w:val="-1"/>
        </w:rPr>
        <w:t xml:space="preserve"> </w:t>
      </w:r>
      <w:r>
        <w:t>16,</w:t>
      </w:r>
      <w:r>
        <w:rPr>
          <w:spacing w:val="-1"/>
        </w:rPr>
        <w:t xml:space="preserve"> </w:t>
      </w:r>
      <w:r w:rsidR="006A095B">
        <w:t>2018</w:t>
      </w:r>
      <w:r>
        <w:tab/>
        <w:t>October 15,</w:t>
      </w:r>
      <w:r>
        <w:rPr>
          <w:spacing w:val="-2"/>
        </w:rPr>
        <w:t xml:space="preserve"> </w:t>
      </w:r>
      <w:r w:rsidR="006A095B">
        <w:t>2018</w:t>
      </w:r>
    </w:p>
    <w:p w:rsidR="00107A2C" w:rsidRDefault="006D0CAC">
      <w:pPr>
        <w:pStyle w:val="BodyText"/>
        <w:tabs>
          <w:tab w:val="left" w:pos="5860"/>
        </w:tabs>
        <w:ind w:left="2260"/>
      </w:pPr>
      <w:r>
        <w:t>May</w:t>
      </w:r>
      <w:r>
        <w:rPr>
          <w:spacing w:val="-1"/>
        </w:rPr>
        <w:t xml:space="preserve"> </w:t>
      </w:r>
      <w:r>
        <w:t>14,</w:t>
      </w:r>
      <w:r>
        <w:rPr>
          <w:spacing w:val="-1"/>
        </w:rPr>
        <w:t xml:space="preserve"> </w:t>
      </w:r>
      <w:r w:rsidR="006A095B">
        <w:t>2018</w:t>
      </w:r>
      <w:r>
        <w:tab/>
        <w:t>November 5,</w:t>
      </w:r>
      <w:r>
        <w:rPr>
          <w:spacing w:val="-2"/>
        </w:rPr>
        <w:t xml:space="preserve"> </w:t>
      </w:r>
      <w:r w:rsidR="006A095B">
        <w:t>2018</w:t>
      </w:r>
    </w:p>
    <w:p w:rsidR="00107A2C" w:rsidRDefault="006A095B">
      <w:pPr>
        <w:pStyle w:val="BodyText"/>
        <w:ind w:left="2260"/>
      </w:pPr>
      <w:r>
        <w:t>June 18, 2018</w:t>
      </w:r>
      <w:r w:rsidR="006D0CAC">
        <w:tab/>
      </w:r>
      <w:r w:rsidR="006D0CAC">
        <w:tab/>
      </w:r>
      <w:r w:rsidR="006D0CAC">
        <w:tab/>
      </w:r>
      <w:r w:rsidR="006D0CAC">
        <w:tab/>
        <w:t xml:space="preserve">  December 17,</w:t>
      </w:r>
      <w:r w:rsidR="006D0CAC">
        <w:rPr>
          <w:spacing w:val="-2"/>
        </w:rPr>
        <w:t xml:space="preserve"> </w:t>
      </w:r>
      <w:r>
        <w:t>2018</w:t>
      </w:r>
    </w:p>
    <w:p w:rsidR="00107A2C" w:rsidRDefault="00107A2C">
      <w:pPr>
        <w:pStyle w:val="BodyText"/>
        <w:spacing w:before="11"/>
        <w:rPr>
          <w:sz w:val="19"/>
        </w:rPr>
      </w:pPr>
    </w:p>
    <w:p w:rsidR="00107A2C" w:rsidRDefault="006D0CAC">
      <w:pPr>
        <w:pStyle w:val="BodyText"/>
        <w:ind w:left="100" w:right="117"/>
        <w:jc w:val="both"/>
      </w:pPr>
      <w:r>
        <w:t>The</w:t>
      </w:r>
      <w:r>
        <w:rPr>
          <w:spacing w:val="-13"/>
        </w:rPr>
        <w:t xml:space="preserve"> </w:t>
      </w:r>
      <w:r>
        <w:t>Louisiana</w:t>
      </w:r>
      <w:r>
        <w:rPr>
          <w:spacing w:val="-12"/>
        </w:rPr>
        <w:t xml:space="preserve"> </w:t>
      </w:r>
      <w:r>
        <w:rPr>
          <w:b/>
        </w:rPr>
        <w:t>COMMITTEE</w:t>
      </w:r>
      <w:r>
        <w:rPr>
          <w:b/>
          <w:spacing w:val="-13"/>
        </w:rPr>
        <w:t xml:space="preserve"> </w:t>
      </w:r>
      <w:r>
        <w:rPr>
          <w:b/>
        </w:rPr>
        <w:t>ON</w:t>
      </w:r>
      <w:r>
        <w:rPr>
          <w:b/>
          <w:spacing w:val="-12"/>
        </w:rPr>
        <w:t xml:space="preserve"> </w:t>
      </w:r>
      <w:r>
        <w:rPr>
          <w:b/>
        </w:rPr>
        <w:t>PAROLE</w:t>
      </w:r>
      <w:r>
        <w:rPr>
          <w:b/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conduct</w:t>
      </w:r>
      <w:r>
        <w:rPr>
          <w:spacing w:val="-15"/>
        </w:rPr>
        <w:t xml:space="preserve"> </w:t>
      </w:r>
      <w:r>
        <w:t>parole</w:t>
      </w:r>
      <w:r>
        <w:rPr>
          <w:spacing w:val="-13"/>
        </w:rPr>
        <w:t xml:space="preserve"> </w:t>
      </w:r>
      <w:r>
        <w:t>hearings</w:t>
      </w:r>
      <w:r>
        <w:rPr>
          <w:spacing w:val="-11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weekday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indicated</w:t>
      </w:r>
      <w:r>
        <w:rPr>
          <w:spacing w:val="-12"/>
        </w:rPr>
        <w:t xml:space="preserve"> </w:t>
      </w:r>
      <w:r>
        <w:t>below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201</w:t>
      </w:r>
      <w:r w:rsidR="00DD10C9">
        <w:t>8</w:t>
      </w:r>
      <w:r>
        <w:t>.</w:t>
      </w:r>
      <w:r>
        <w:rPr>
          <w:spacing w:val="30"/>
        </w:rPr>
        <w:t xml:space="preserve"> </w:t>
      </w:r>
      <w:r>
        <w:t>Hearings will be conducted by</w:t>
      </w:r>
      <w:r w:rsidR="00DD10C9">
        <w:t xml:space="preserve"> a</w:t>
      </w:r>
      <w:r>
        <w:t xml:space="preserve"> 3 or 5 member Parole Panel. Parole Panels will convene at 8:30 a.m. in the Pardon/Parole hearing room located at 504 Mayflower</w:t>
      </w:r>
      <w:r w:rsidR="00DD10C9">
        <w:t xml:space="preserve"> Street</w:t>
      </w:r>
      <w:r>
        <w:t>, Baton Rouge, LA. Offenders will meet with panels via videoconferencing from the respective prison facility.  All visitors must check in at the Security</w:t>
      </w:r>
      <w:r>
        <w:rPr>
          <w:spacing w:val="-10"/>
        </w:rPr>
        <w:t xml:space="preserve"> </w:t>
      </w:r>
      <w:r>
        <w:t>Office.</w:t>
      </w:r>
    </w:p>
    <w:p w:rsidR="00107A2C" w:rsidRDefault="00107A2C">
      <w:pPr>
        <w:pStyle w:val="BodyText"/>
        <w:spacing w:before="2"/>
      </w:pPr>
    </w:p>
    <w:tbl>
      <w:tblPr>
        <w:tblW w:w="0" w:type="auto"/>
        <w:tblInd w:w="3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1172"/>
        <w:gridCol w:w="1203"/>
        <w:gridCol w:w="1181"/>
      </w:tblGrid>
      <w:tr w:rsidR="00107A2C">
        <w:trPr>
          <w:trHeight w:hRule="exact" w:val="304"/>
        </w:trPr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9"/>
              <w:ind w:left="90" w:right="95"/>
            </w:pPr>
            <w:r>
              <w:t>January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spacing w:before="79"/>
              <w:ind w:left="37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1-5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9"/>
              <w:ind w:right="81"/>
            </w:pPr>
            <w:r>
              <w:t>July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spacing w:before="79"/>
              <w:ind w:left="375" w:righ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9-13</w:t>
            </w:r>
          </w:p>
        </w:tc>
      </w:tr>
      <w:tr w:rsidR="00107A2C">
        <w:trPr>
          <w:trHeight w:hRule="exact" w:val="298"/>
        </w:trPr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left="90" w:right="95"/>
            </w:pPr>
            <w:r>
              <w:t>January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8-12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right="81"/>
            </w:pPr>
            <w:r>
              <w:t>July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5" w:righ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16-20</w:t>
            </w:r>
          </w:p>
        </w:tc>
      </w:tr>
      <w:tr w:rsidR="00107A2C">
        <w:trPr>
          <w:trHeight w:hRule="exact" w:val="299"/>
        </w:trPr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9"/>
              <w:ind w:left="90" w:right="95"/>
            </w:pPr>
            <w:r>
              <w:t>January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22-26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9"/>
              <w:ind w:right="81"/>
            </w:pPr>
            <w:r>
              <w:t>July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5" w:righ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23-27</w:t>
            </w:r>
          </w:p>
        </w:tc>
      </w:tr>
      <w:tr w:rsidR="00107A2C">
        <w:trPr>
          <w:trHeight w:hRule="exact" w:val="298"/>
        </w:trPr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left="90" w:right="95"/>
            </w:pPr>
            <w:r>
              <w:t>February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29-2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right="81"/>
            </w:pPr>
            <w:r>
              <w:t>August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3" w:righ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30-3</w:t>
            </w:r>
          </w:p>
        </w:tc>
      </w:tr>
      <w:tr w:rsidR="00107A2C">
        <w:trPr>
          <w:trHeight w:hRule="exact" w:val="298"/>
        </w:trPr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left="90" w:right="95"/>
            </w:pPr>
            <w:r>
              <w:t>February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5-9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right="81"/>
            </w:pPr>
            <w:r>
              <w:t>August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3" w:righ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6-10</w:t>
            </w:r>
          </w:p>
        </w:tc>
      </w:tr>
      <w:tr w:rsidR="00107A2C">
        <w:trPr>
          <w:trHeight w:hRule="exact" w:val="299"/>
        </w:trPr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9"/>
              <w:ind w:left="90" w:right="95"/>
            </w:pPr>
            <w:r>
              <w:t>February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19-23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9"/>
              <w:ind w:right="81"/>
            </w:pPr>
            <w:r>
              <w:t>August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5" w:righ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20-24</w:t>
            </w:r>
          </w:p>
        </w:tc>
      </w:tr>
      <w:tr w:rsidR="00107A2C">
        <w:trPr>
          <w:trHeight w:hRule="exact" w:val="298"/>
        </w:trPr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left="90" w:right="94"/>
            </w:pPr>
            <w:r>
              <w:t>March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5-9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right="83"/>
            </w:pPr>
            <w:r>
              <w:t>September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3" w:righ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3-7</w:t>
            </w:r>
          </w:p>
        </w:tc>
      </w:tr>
      <w:tr w:rsidR="00107A2C">
        <w:trPr>
          <w:trHeight w:hRule="exact" w:val="298"/>
        </w:trPr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left="90" w:right="94"/>
            </w:pPr>
            <w:r>
              <w:t>March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12-16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right="83"/>
            </w:pPr>
            <w:r>
              <w:t>September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5" w:righ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10-14</w:t>
            </w:r>
          </w:p>
        </w:tc>
      </w:tr>
      <w:tr w:rsidR="00107A2C">
        <w:trPr>
          <w:trHeight w:hRule="exact" w:val="299"/>
        </w:trPr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9"/>
              <w:ind w:left="90" w:right="94"/>
            </w:pPr>
            <w:r>
              <w:t>March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19-23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9"/>
              <w:ind w:right="83"/>
            </w:pPr>
            <w:r>
              <w:t>September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5" w:righ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17-21</w:t>
            </w:r>
          </w:p>
        </w:tc>
      </w:tr>
      <w:tr w:rsidR="00107A2C">
        <w:trPr>
          <w:trHeight w:hRule="exact" w:val="298"/>
        </w:trPr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left="90" w:right="93"/>
            </w:pPr>
            <w:r>
              <w:t>April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2-6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right="81"/>
            </w:pPr>
            <w:r>
              <w:t>October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3" w:righ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1-5</w:t>
            </w:r>
          </w:p>
        </w:tc>
      </w:tr>
      <w:tr w:rsidR="00107A2C">
        <w:trPr>
          <w:trHeight w:hRule="exact" w:val="298"/>
        </w:trPr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left="90" w:right="93"/>
            </w:pPr>
            <w:r>
              <w:t>April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9-13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right="81"/>
            </w:pPr>
            <w:r>
              <w:t>October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5" w:righ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8-12</w:t>
            </w:r>
          </w:p>
        </w:tc>
      </w:tr>
      <w:tr w:rsidR="00107A2C">
        <w:trPr>
          <w:trHeight w:hRule="exact" w:val="299"/>
        </w:trPr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9"/>
              <w:ind w:left="90" w:right="93"/>
            </w:pPr>
            <w:r>
              <w:t>April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16-20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9"/>
              <w:ind w:right="81"/>
            </w:pPr>
            <w:r>
              <w:t>October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5" w:righ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15-19</w:t>
            </w:r>
          </w:p>
        </w:tc>
      </w:tr>
      <w:tr w:rsidR="00107A2C">
        <w:trPr>
          <w:trHeight w:hRule="exact" w:val="298"/>
        </w:trPr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left="90" w:right="95"/>
            </w:pPr>
            <w:r>
              <w:t>May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30-4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right="81"/>
            </w:pPr>
            <w:r>
              <w:t>November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3" w:righ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29-2</w:t>
            </w:r>
          </w:p>
        </w:tc>
      </w:tr>
      <w:tr w:rsidR="00107A2C">
        <w:trPr>
          <w:trHeight w:hRule="exact" w:val="298"/>
        </w:trPr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left="90" w:right="95"/>
            </w:pPr>
            <w:r>
              <w:t>May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7-11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right="81"/>
            </w:pPr>
            <w:r>
              <w:t>November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3" w:righ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5-9</w:t>
            </w:r>
          </w:p>
        </w:tc>
      </w:tr>
      <w:tr w:rsidR="00107A2C">
        <w:trPr>
          <w:trHeight w:hRule="exact" w:val="299"/>
        </w:trPr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9"/>
              <w:ind w:left="90" w:right="95"/>
            </w:pPr>
            <w:r>
              <w:t>May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14-18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9"/>
              <w:ind w:right="81"/>
            </w:pPr>
            <w:r>
              <w:t>November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5" w:righ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12-16</w:t>
            </w:r>
          </w:p>
        </w:tc>
      </w:tr>
      <w:tr w:rsidR="00107A2C">
        <w:trPr>
          <w:trHeight w:hRule="exact" w:val="298"/>
        </w:trPr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left="90" w:right="94"/>
            </w:pPr>
            <w:r>
              <w:t>June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4-8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right="81"/>
            </w:pPr>
            <w:r>
              <w:t>December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3" w:righ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3-7</w:t>
            </w:r>
          </w:p>
        </w:tc>
      </w:tr>
      <w:tr w:rsidR="00107A2C">
        <w:trPr>
          <w:trHeight w:hRule="exact" w:val="298"/>
        </w:trPr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left="90" w:right="94"/>
            </w:pPr>
            <w:r>
              <w:t>June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11-15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8"/>
              <w:ind w:right="81"/>
            </w:pPr>
            <w:r>
              <w:t>December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5" w:righ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10-14</w:t>
            </w:r>
          </w:p>
        </w:tc>
      </w:tr>
      <w:tr w:rsidR="00107A2C">
        <w:trPr>
          <w:trHeight w:hRule="exact" w:val="304"/>
        </w:trPr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9"/>
              <w:ind w:left="90" w:right="94"/>
            </w:pPr>
            <w:r>
              <w:t>June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</w:tcBorders>
          </w:tcPr>
          <w:p w:rsidR="00107A2C" w:rsidRDefault="00E87158">
            <w:pPr>
              <w:pStyle w:val="TableParagraph"/>
              <w:ind w:lef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18-22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2C" w:rsidRDefault="006D0CAC">
            <w:pPr>
              <w:pStyle w:val="TableParagraph"/>
              <w:spacing w:before="19"/>
              <w:ind w:right="81"/>
            </w:pPr>
            <w:r>
              <w:t>December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A2C" w:rsidRDefault="00E87158">
            <w:pPr>
              <w:pStyle w:val="TableParagraph"/>
              <w:ind w:left="375" w:right="37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17-21</w:t>
            </w:r>
          </w:p>
        </w:tc>
      </w:tr>
    </w:tbl>
    <w:p w:rsidR="00107A2C" w:rsidRDefault="00107A2C">
      <w:pPr>
        <w:pStyle w:val="BodyText"/>
        <w:rPr>
          <w:sz w:val="22"/>
        </w:rPr>
      </w:pPr>
    </w:p>
    <w:p w:rsidR="00107A2C" w:rsidRDefault="00107A2C">
      <w:pPr>
        <w:pStyle w:val="BodyText"/>
        <w:spacing w:before="2"/>
        <w:rPr>
          <w:sz w:val="22"/>
        </w:rPr>
      </w:pPr>
    </w:p>
    <w:p w:rsidR="00107A2C" w:rsidRDefault="006D0CAC">
      <w:pPr>
        <w:pStyle w:val="Heading1"/>
      </w:pPr>
      <w:r>
        <w:t>Please refer to the Board's webpage for docket information</w:t>
      </w:r>
    </w:p>
    <w:p w:rsidR="006D0CAC" w:rsidRDefault="00951F9A">
      <w:pPr>
        <w:pStyle w:val="Heading1"/>
      </w:pPr>
      <w:hyperlink r:id="rId5" w:history="1">
        <w:r w:rsidR="006D0CAC" w:rsidRPr="00B90B42">
          <w:rPr>
            <w:rStyle w:val="Hyperlink"/>
          </w:rPr>
          <w:t>http://www.doc.louisiana.gov/louisiana-board-of-pardons-and-parole/</w:t>
        </w:r>
      </w:hyperlink>
    </w:p>
    <w:p w:rsidR="00107A2C" w:rsidRDefault="00107A2C">
      <w:pPr>
        <w:pStyle w:val="BodyText"/>
        <w:spacing w:before="1"/>
        <w:rPr>
          <w:rFonts w:ascii="Calibri"/>
          <w:b/>
          <w:sz w:val="15"/>
        </w:rPr>
      </w:pPr>
    </w:p>
    <w:p w:rsidR="00107A2C" w:rsidRDefault="006D0CAC">
      <w:pPr>
        <w:spacing w:before="56"/>
        <w:ind w:left="1274"/>
        <w:rPr>
          <w:rFonts w:ascii="Calibri"/>
          <w:i/>
        </w:rPr>
      </w:pPr>
      <w:r>
        <w:rPr>
          <w:rFonts w:ascii="Calibri"/>
          <w:i/>
        </w:rPr>
        <w:t xml:space="preserve">If special accommodations are needed, please visit </w:t>
      </w:r>
      <w:r>
        <w:rPr>
          <w:rFonts w:ascii="Calibri"/>
          <w:i/>
          <w:u w:val="single"/>
        </w:rPr>
        <w:t xml:space="preserve">DOC.LA.GOV </w:t>
      </w:r>
      <w:r>
        <w:rPr>
          <w:rFonts w:ascii="Calibri"/>
          <w:i/>
        </w:rPr>
        <w:t>for Board contact information.</w:t>
      </w:r>
    </w:p>
    <w:sectPr w:rsidR="00107A2C">
      <w:type w:val="continuous"/>
      <w:pgSz w:w="12240" w:h="15840"/>
      <w:pgMar w:top="720" w:right="600" w:bottom="280" w:left="62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2C"/>
    <w:rsid w:val="00107A2C"/>
    <w:rsid w:val="005D2DB2"/>
    <w:rsid w:val="006A095B"/>
    <w:rsid w:val="006D0CAC"/>
    <w:rsid w:val="00951F9A"/>
    <w:rsid w:val="00A910FC"/>
    <w:rsid w:val="00DD10C9"/>
    <w:rsid w:val="00E8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FBD0"/>
  <w15:docId w15:val="{4B61D400-1CCE-4A5D-A2E1-E129E79E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12" w:right="2030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  <w:ind w:left="78" w:right="368"/>
      <w:jc w:val="center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AC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0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c.louisiana.gov/louisiana-board-of-pardons-and-parol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DOA Office of Technology Services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RANATZA</dc:creator>
  <cp:lastModifiedBy>Administrator</cp:lastModifiedBy>
  <cp:revision>8</cp:revision>
  <dcterms:created xsi:type="dcterms:W3CDTF">2017-09-29T15:08:00Z</dcterms:created>
  <dcterms:modified xsi:type="dcterms:W3CDTF">2017-09-29T20:26:00Z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2017-09-29T00:00:00Z</vt:filetime>
  </property>
</Properties>
</file>